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ispositiondetableau"/>
        <w:tblW w:w="15168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284"/>
        <w:gridCol w:w="3544"/>
        <w:gridCol w:w="690"/>
        <w:gridCol w:w="545"/>
        <w:gridCol w:w="162"/>
        <w:gridCol w:w="21"/>
        <w:gridCol w:w="566"/>
        <w:gridCol w:w="4029"/>
        <w:gridCol w:w="224"/>
        <w:gridCol w:w="283"/>
        <w:gridCol w:w="109"/>
        <w:gridCol w:w="600"/>
        <w:gridCol w:w="425"/>
        <w:gridCol w:w="3173"/>
        <w:gridCol w:w="513"/>
      </w:tblGrid>
      <w:tr w:rsidR="00D870BA" w:rsidTr="009E7979">
        <w:trPr>
          <w:gridAfter w:val="1"/>
          <w:wAfter w:w="513" w:type="dxa"/>
          <w:trHeight w:hRule="exact" w:val="10813"/>
          <w:jc w:val="center"/>
        </w:trPr>
        <w:tc>
          <w:tcPr>
            <w:tcW w:w="3828" w:type="dxa"/>
            <w:gridSpan w:val="2"/>
          </w:tcPr>
          <w:sdt>
            <w:sdtPr>
              <w:rPr>
                <w:noProof/>
              </w:rPr>
              <w:alias w:val="Cliquez sur l'icône à droite pour remplacer l'image"/>
              <w:tag w:val="Cliquez sur l'icône à droite pour remplacer l'image"/>
              <w:id w:val="321324275"/>
              <w:picture/>
            </w:sdtPr>
            <w:sdtContent>
              <w:p w:rsidR="00D870BA" w:rsidRDefault="006C4392" w:rsidP="00434E6C">
                <w:pPr>
                  <w:spacing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5034E71" wp14:editId="5AE50DA8">
                      <wp:extent cx="1714500" cy="8382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0" cy="838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74A05" w:rsidRDefault="006C4392" w:rsidP="00434E6C">
            <w:pPr>
              <w:pStyle w:val="Lgende"/>
              <w:spacing w:after="240"/>
              <w:jc w:val="center"/>
            </w:pPr>
            <w:r>
              <w:t>Prévenir les risques de brûlures</w:t>
            </w:r>
          </w:p>
          <w:p w:rsidR="00D870BA" w:rsidRDefault="00874A05" w:rsidP="00E93286">
            <w:pPr>
              <w:spacing w:before="120"/>
              <w:ind w:left="-284" w:firstLine="284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747956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Moyen</w:t>
            </w:r>
            <w:r w:rsidR="00747956" w:rsidRPr="00747956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s</w:t>
            </w:r>
            <w:r w:rsidRPr="00747956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de prévention :</w:t>
            </w:r>
          </w:p>
          <w:p w:rsidR="00547402" w:rsidRPr="00547402" w:rsidRDefault="00547402" w:rsidP="00A67D14">
            <w:pPr>
              <w:spacing w:after="8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47402">
              <w:rPr>
                <w:rFonts w:eastAsia="Times New Roman" w:cs="Times New Roman"/>
                <w:i/>
                <w:iCs/>
                <w:color w:val="auto"/>
              </w:rPr>
              <w:t>Dans la cuisine</w:t>
            </w:r>
          </w:p>
          <w:p w:rsidR="00547402" w:rsidRPr="00547402" w:rsidRDefault="006C4392" w:rsidP="00A67D1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D11EE">
              <w:rPr>
                <w:rFonts w:eastAsia="Times New Roman" w:cs="Times New Roman"/>
                <w:color w:val="auto"/>
              </w:rPr>
              <w:t>- Ne pas</w:t>
            </w:r>
            <w:r w:rsidR="00547402" w:rsidRPr="00547402">
              <w:rPr>
                <w:rFonts w:eastAsia="Times New Roman" w:cs="Times New Roman"/>
                <w:color w:val="auto"/>
              </w:rPr>
              <w:t xml:space="preserve"> manipuler les ustensiles à risque tels que les casseroles d'eau bouillante ou d'huile lorsque vous avez un enfant dans les bras.</w:t>
            </w:r>
          </w:p>
          <w:p w:rsidR="00547402" w:rsidRPr="00547402" w:rsidRDefault="00547402" w:rsidP="00A67D1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47402">
              <w:rPr>
                <w:rFonts w:eastAsia="Times New Roman" w:cs="Times New Roman"/>
                <w:color w:val="auto"/>
              </w:rPr>
              <w:t>Les casseroles sur les feux doivent être éloignées du bord, queues tournées vers l'intérieur.</w:t>
            </w:r>
          </w:p>
          <w:p w:rsidR="00547402" w:rsidRPr="00547402" w:rsidRDefault="006C4392" w:rsidP="00A67D1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D11EE">
              <w:rPr>
                <w:rFonts w:eastAsia="Times New Roman" w:cs="Times New Roman"/>
                <w:color w:val="auto"/>
              </w:rPr>
              <w:t>- S</w:t>
            </w:r>
            <w:r w:rsidR="00547402" w:rsidRPr="00547402">
              <w:rPr>
                <w:rFonts w:eastAsia="Times New Roman" w:cs="Times New Roman"/>
                <w:color w:val="auto"/>
              </w:rPr>
              <w:t>ervir les enfants dans des assiettes et éviter de poser les casseroles sur la table au moment des repas.</w:t>
            </w:r>
          </w:p>
          <w:p w:rsidR="006C4392" w:rsidRPr="005D11EE" w:rsidRDefault="006C4392" w:rsidP="00A67D1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D11EE">
              <w:rPr>
                <w:rFonts w:eastAsia="Times New Roman" w:cs="Times New Roman"/>
                <w:color w:val="auto"/>
              </w:rPr>
              <w:t xml:space="preserve">- Vérifier </w:t>
            </w:r>
            <w:r w:rsidR="00547402" w:rsidRPr="00547402">
              <w:rPr>
                <w:rFonts w:eastAsia="Times New Roman" w:cs="Times New Roman"/>
                <w:color w:val="auto"/>
              </w:rPr>
              <w:t xml:space="preserve">la température du lait </w:t>
            </w:r>
            <w:r w:rsidRPr="005D11EE">
              <w:rPr>
                <w:rFonts w:eastAsia="Times New Roman" w:cs="Times New Roman"/>
                <w:color w:val="auto"/>
              </w:rPr>
              <w:t xml:space="preserve">du biberon </w:t>
            </w:r>
            <w:r w:rsidR="00547402" w:rsidRPr="00547402">
              <w:rPr>
                <w:rFonts w:eastAsia="Times New Roman" w:cs="Times New Roman"/>
                <w:color w:val="auto"/>
              </w:rPr>
              <w:t>en la testant au préalable sur le dos de la mai</w:t>
            </w:r>
            <w:r w:rsidRPr="005D11EE">
              <w:rPr>
                <w:rFonts w:eastAsia="Times New Roman" w:cs="Times New Roman"/>
                <w:color w:val="auto"/>
              </w:rPr>
              <w:t>n.</w:t>
            </w:r>
          </w:p>
          <w:p w:rsidR="00547402" w:rsidRPr="00547402" w:rsidRDefault="006C4392" w:rsidP="00A67D1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D11EE">
              <w:rPr>
                <w:rFonts w:eastAsia="Times New Roman" w:cs="Times New Roman"/>
                <w:color w:val="auto"/>
              </w:rPr>
              <w:t xml:space="preserve">- Ne jamais poser au sol </w:t>
            </w:r>
            <w:r w:rsidR="008902E1" w:rsidRPr="005D11EE">
              <w:rPr>
                <w:rFonts w:eastAsia="Times New Roman" w:cs="Times New Roman"/>
                <w:color w:val="auto"/>
              </w:rPr>
              <w:t>d’ustensile</w:t>
            </w:r>
            <w:r w:rsidR="008902E1">
              <w:rPr>
                <w:rFonts w:eastAsia="Times New Roman" w:cs="Times New Roman"/>
                <w:color w:val="auto"/>
              </w:rPr>
              <w:t>s</w:t>
            </w:r>
            <w:r w:rsidR="008902E1" w:rsidRPr="005D11EE">
              <w:rPr>
                <w:rFonts w:eastAsia="Times New Roman" w:cs="Times New Roman"/>
                <w:color w:val="auto"/>
              </w:rPr>
              <w:t xml:space="preserve"> bouillant</w:t>
            </w:r>
            <w:r w:rsidR="008902E1">
              <w:rPr>
                <w:rFonts w:eastAsia="Times New Roman" w:cs="Times New Roman"/>
                <w:color w:val="auto"/>
              </w:rPr>
              <w:t>s</w:t>
            </w:r>
            <w:r w:rsidR="008902E1" w:rsidRPr="005D11EE">
              <w:rPr>
                <w:rFonts w:eastAsia="Times New Roman" w:cs="Times New Roman"/>
                <w:color w:val="auto"/>
              </w:rPr>
              <w:t xml:space="preserve"> </w:t>
            </w:r>
            <w:r w:rsidR="00423549" w:rsidRPr="005D11EE">
              <w:rPr>
                <w:rFonts w:eastAsia="Times New Roman" w:cs="Times New Roman"/>
                <w:color w:val="auto"/>
              </w:rPr>
              <w:t>tel</w:t>
            </w:r>
            <w:r w:rsidR="00423549">
              <w:rPr>
                <w:rFonts w:eastAsia="Times New Roman" w:cs="Times New Roman"/>
                <w:color w:val="auto"/>
              </w:rPr>
              <w:t>s</w:t>
            </w:r>
            <w:r w:rsidRPr="005D11EE">
              <w:rPr>
                <w:rFonts w:eastAsia="Times New Roman" w:cs="Times New Roman"/>
                <w:color w:val="auto"/>
              </w:rPr>
              <w:t xml:space="preserve"> que les friteuses.</w:t>
            </w:r>
            <w:r w:rsidR="00547402" w:rsidRPr="00547402">
              <w:rPr>
                <w:rFonts w:eastAsia="Times New Roman" w:cs="Times New Roman"/>
                <w:color w:val="auto"/>
              </w:rPr>
              <w:t> </w:t>
            </w:r>
          </w:p>
          <w:p w:rsidR="006C4392" w:rsidRPr="005D11EE" w:rsidRDefault="00547402" w:rsidP="00A67D14">
            <w:pPr>
              <w:spacing w:before="120" w:after="80" w:line="240" w:lineRule="auto"/>
              <w:jc w:val="both"/>
              <w:rPr>
                <w:rFonts w:eastAsia="Times New Roman" w:cs="Times New Roman"/>
                <w:i/>
                <w:iCs/>
                <w:color w:val="auto"/>
              </w:rPr>
            </w:pPr>
            <w:r w:rsidRPr="00547402">
              <w:rPr>
                <w:rFonts w:eastAsia="Times New Roman" w:cs="Times New Roman"/>
                <w:i/>
                <w:iCs/>
                <w:color w:val="auto"/>
              </w:rPr>
              <w:t>Dans la salle de bains</w:t>
            </w:r>
          </w:p>
          <w:p w:rsidR="006C4392" w:rsidRPr="005D11EE" w:rsidRDefault="006C4392" w:rsidP="00A67D1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D11EE">
              <w:rPr>
                <w:rFonts w:eastAsia="Times New Roman" w:cs="Times New Roman"/>
                <w:color w:val="auto"/>
              </w:rPr>
              <w:t>- V</w:t>
            </w:r>
            <w:r w:rsidR="00547402" w:rsidRPr="00547402">
              <w:rPr>
                <w:rFonts w:eastAsia="Times New Roman" w:cs="Times New Roman"/>
                <w:color w:val="auto"/>
              </w:rPr>
              <w:t xml:space="preserve">érifier la température du bain à l'aide d'un thermomètre. </w:t>
            </w:r>
          </w:p>
          <w:p w:rsidR="00547402" w:rsidRPr="005D11EE" w:rsidRDefault="006C4392" w:rsidP="00A67D1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D11EE">
              <w:rPr>
                <w:rFonts w:eastAsia="Times New Roman" w:cs="Times New Roman"/>
                <w:color w:val="auto"/>
              </w:rPr>
              <w:t>- O</w:t>
            </w:r>
            <w:r w:rsidR="00547402" w:rsidRPr="00547402">
              <w:rPr>
                <w:rFonts w:eastAsia="Times New Roman" w:cs="Times New Roman"/>
                <w:color w:val="auto"/>
              </w:rPr>
              <w:t>uvrir en premier les robinets d'eau froide et fermer en priorité le robinet d'eau chaude et ne jamais plonger l'enfant avant d'avoir terminé le mélange.</w:t>
            </w:r>
          </w:p>
          <w:p w:rsidR="006C4392" w:rsidRPr="005D11EE" w:rsidRDefault="006C4392" w:rsidP="00A67D1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D11EE">
              <w:rPr>
                <w:rFonts w:eastAsia="Times New Roman" w:cs="Times New Roman"/>
                <w:color w:val="auto"/>
              </w:rPr>
              <w:t>- R</w:t>
            </w:r>
            <w:r w:rsidR="00547402" w:rsidRPr="00547402">
              <w:rPr>
                <w:rFonts w:eastAsia="Times New Roman" w:cs="Times New Roman"/>
                <w:color w:val="auto"/>
              </w:rPr>
              <w:t>égler le thermostat du générateur d'eau chaude de la maison à 45 ou 50 degrés maximum.</w:t>
            </w:r>
            <w:r w:rsidR="00E93286">
              <w:rPr>
                <w:rFonts w:eastAsia="Times New Roman" w:cs="Times New Roman"/>
                <w:color w:val="auto"/>
              </w:rPr>
              <w:t xml:space="preserve"> </w:t>
            </w:r>
            <w:r w:rsidR="00547402" w:rsidRPr="00547402">
              <w:rPr>
                <w:rFonts w:eastAsia="Times New Roman" w:cs="Times New Roman"/>
                <w:color w:val="auto"/>
              </w:rPr>
              <w:t>Il ne faut pas laisser les jeunes enfants sans surveillance pendant le bain.</w:t>
            </w:r>
          </w:p>
          <w:p w:rsidR="006C4392" w:rsidRPr="005D11EE" w:rsidRDefault="006C4392" w:rsidP="00A67D14">
            <w:pPr>
              <w:spacing w:before="120" w:after="80" w:line="240" w:lineRule="auto"/>
              <w:jc w:val="both"/>
              <w:rPr>
                <w:rFonts w:eastAsia="Times New Roman" w:cs="Times New Roman"/>
                <w:i/>
                <w:iCs/>
                <w:color w:val="auto"/>
              </w:rPr>
            </w:pPr>
            <w:r w:rsidRPr="005D11EE">
              <w:rPr>
                <w:rFonts w:eastAsia="Times New Roman" w:cs="Times New Roman"/>
                <w:i/>
                <w:iCs/>
                <w:color w:val="auto"/>
              </w:rPr>
              <w:t>D</w:t>
            </w:r>
            <w:r w:rsidR="00547402" w:rsidRPr="00547402">
              <w:rPr>
                <w:rFonts w:eastAsia="Times New Roman" w:cs="Times New Roman"/>
                <w:i/>
                <w:iCs/>
                <w:color w:val="auto"/>
              </w:rPr>
              <w:t>ans la maison, en généra</w:t>
            </w:r>
            <w:r w:rsidRPr="005D11EE">
              <w:rPr>
                <w:rFonts w:eastAsia="Times New Roman" w:cs="Times New Roman"/>
                <w:i/>
                <w:iCs/>
                <w:color w:val="auto"/>
              </w:rPr>
              <w:t>l</w:t>
            </w:r>
          </w:p>
          <w:p w:rsidR="006C4392" w:rsidRPr="005D11EE" w:rsidRDefault="006C4392" w:rsidP="00A67D14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5D11EE">
              <w:rPr>
                <w:rFonts w:eastAsia="Times New Roman" w:cs="Times New Roman"/>
                <w:color w:val="auto"/>
              </w:rPr>
              <w:t xml:space="preserve">- </w:t>
            </w:r>
            <w:r w:rsidR="00547402" w:rsidRPr="00547402">
              <w:rPr>
                <w:rFonts w:eastAsia="Times New Roman" w:cs="Times New Roman"/>
                <w:color w:val="auto"/>
              </w:rPr>
              <w:t>vérifier qu'aucune source de chaleur n'est à portée des enfants : ampoules électriques, résistances des chauffages électriques ou d'appoint à l'alcool.</w:t>
            </w:r>
          </w:p>
          <w:p w:rsidR="00547402" w:rsidRPr="00747956" w:rsidRDefault="006C4392" w:rsidP="00A67D14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D11EE">
              <w:rPr>
                <w:rFonts w:eastAsia="Times New Roman" w:cs="Times New Roman"/>
                <w:color w:val="auto"/>
              </w:rPr>
              <w:t>- éloigner les enfants du barbecue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35" w:type="dxa"/>
            <w:gridSpan w:val="2"/>
          </w:tcPr>
          <w:p w:rsidR="00D870BA" w:rsidRDefault="00D870BA">
            <w:bookmarkStart w:id="0" w:name="_GoBack"/>
            <w:bookmarkEnd w:id="0"/>
          </w:p>
        </w:tc>
        <w:tc>
          <w:tcPr>
            <w:tcW w:w="183" w:type="dxa"/>
            <w:gridSpan w:val="2"/>
          </w:tcPr>
          <w:p w:rsidR="00D870BA" w:rsidRDefault="00D870BA"/>
        </w:tc>
        <w:tc>
          <w:tcPr>
            <w:tcW w:w="4595" w:type="dxa"/>
            <w:gridSpan w:val="2"/>
          </w:tcPr>
          <w:tbl>
            <w:tblPr>
              <w:tblStyle w:val="Dispositiondetableau"/>
              <w:tblW w:w="4517" w:type="pct"/>
              <w:tblLayout w:type="fixed"/>
              <w:tblLook w:val="04A0" w:firstRow="1" w:lastRow="0" w:firstColumn="1" w:lastColumn="0" w:noHBand="0" w:noVBand="1"/>
            </w:tblPr>
            <w:tblGrid>
              <w:gridCol w:w="4151"/>
            </w:tblGrid>
            <w:tr w:rsidR="00D870BA" w:rsidTr="00500DC9">
              <w:trPr>
                <w:trHeight w:hRule="exact" w:val="7930"/>
              </w:trPr>
              <w:tc>
                <w:tcPr>
                  <w:tcW w:w="5000" w:type="pct"/>
                </w:tcPr>
                <w:p w:rsidR="00D870BA" w:rsidRDefault="00F750A6">
                  <w:pPr>
                    <w:pStyle w:val="Titre1"/>
                  </w:pPr>
                  <w:r>
                    <w:t>Dépliant réalisé par :</w:t>
                  </w:r>
                </w:p>
                <w:p w:rsidR="00F750A6" w:rsidRPr="0028067B" w:rsidRDefault="00586A67">
                  <w:pPr>
                    <w:pStyle w:val="Titre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Claire LACROIX,</w:t>
                  </w:r>
                </w:p>
                <w:p w:rsidR="00F750A6" w:rsidRPr="00586A67" w:rsidRDefault="00586A67" w:rsidP="00500DC9">
                  <w:pPr>
                    <w:pStyle w:val="Titre2"/>
                    <w:jc w:val="both"/>
                    <w:rPr>
                      <w:b w:val="0"/>
                      <w:color w:val="auto"/>
                    </w:rPr>
                  </w:pPr>
                  <w:r>
                    <w:rPr>
                      <w:color w:val="auto"/>
                    </w:rPr>
                    <w:t xml:space="preserve">Professeur du pôle Ergonomie-Soins </w:t>
                  </w:r>
                  <w:r w:rsidRPr="00586A67">
                    <w:rPr>
                      <w:b w:val="0"/>
                      <w:color w:val="auto"/>
                    </w:rPr>
                    <w:t>auprès des élèves de Seconde Bac Pro Accompagnement, soins et services</w:t>
                  </w:r>
                  <w:r w:rsidR="00DD7D37">
                    <w:rPr>
                      <w:b w:val="0"/>
                      <w:color w:val="auto"/>
                    </w:rPr>
                    <w:t xml:space="preserve"> à la personne, année 2015-2016.</w:t>
                  </w:r>
                </w:p>
                <w:p w:rsidR="00F750A6" w:rsidRPr="00586A67" w:rsidRDefault="00586A67" w:rsidP="00500DC9">
                  <w:pPr>
                    <w:pStyle w:val="Titre2"/>
                    <w:jc w:val="both"/>
                    <w:rPr>
                      <w:b w:val="0"/>
                      <w:color w:val="auto"/>
                    </w:rPr>
                  </w:pPr>
                  <w:r>
                    <w:rPr>
                      <w:color w:val="auto"/>
                    </w:rPr>
                    <w:t xml:space="preserve">Lycée Marie-Curie, </w:t>
                  </w:r>
                  <w:r w:rsidRPr="00586A67">
                    <w:rPr>
                      <w:b w:val="0"/>
                      <w:color w:val="auto"/>
                    </w:rPr>
                    <w:t xml:space="preserve">64 bd Eugène </w:t>
                  </w:r>
                  <w:proofErr w:type="spellStart"/>
                  <w:r w:rsidRPr="00586A67">
                    <w:rPr>
                      <w:b w:val="0"/>
                      <w:color w:val="auto"/>
                    </w:rPr>
                    <w:t>Réguillon</w:t>
                  </w:r>
                  <w:proofErr w:type="spellEnd"/>
                  <w:r w:rsidRPr="00586A67">
                    <w:rPr>
                      <w:b w:val="0"/>
                      <w:color w:val="auto"/>
                    </w:rPr>
                    <w:t>, 69100 Villeurbanne.</w:t>
                  </w:r>
                </w:p>
                <w:p w:rsidR="00D870BA" w:rsidRDefault="00D870BA" w:rsidP="00500DC9">
                  <w:pPr>
                    <w:ind w:left="-380"/>
                  </w:pPr>
                </w:p>
              </w:tc>
            </w:tr>
            <w:tr w:rsidR="00D870BA" w:rsidTr="00500DC9">
              <w:trPr>
                <w:trHeight w:hRule="exact" w:val="2883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76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5"/>
                    <w:gridCol w:w="20"/>
                    <w:gridCol w:w="2667"/>
                  </w:tblGrid>
                  <w:tr w:rsidR="00D870BA" w:rsidTr="00500DC9">
                    <w:trPr>
                      <w:trHeight w:val="2538"/>
                    </w:trPr>
                    <w:tc>
                      <w:tcPr>
                        <w:tcW w:w="3014" w:type="pct"/>
                        <w:vAlign w:val="center"/>
                      </w:tcPr>
                      <w:p w:rsidR="00874A05" w:rsidRDefault="00874A05" w:rsidP="00874A05">
                        <w:pPr>
                          <w:jc w:val="center"/>
                        </w:pPr>
                        <w:sdt>
                          <w:sdtPr>
                            <w:alias w:val="Cliquez sur l'icône à droite pour remplacer l'image"/>
                            <w:tag w:val="Cliquez sur l'icône à droite pour remplacer l'image"/>
                            <w:id w:val="-53082825"/>
                            <w:picture/>
                          </w:sdtPr>
                          <w:sdtContent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9C03F" wp14:editId="4860FF09">
                                  <wp:extent cx="1104981" cy="1304930"/>
                                  <wp:effectExtent l="0" t="0" r="0" b="0"/>
                                  <wp:docPr id="17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81" cy="130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sdtContent>
                        </w:sdt>
                      </w:p>
                      <w:p w:rsidR="00F750A6" w:rsidRPr="005F4B6F" w:rsidRDefault="00874A05" w:rsidP="005F4B6F">
                        <w:pPr>
                          <w:pStyle w:val="Sansinterligne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" w:type="pct"/>
                      </w:tcPr>
                      <w:p w:rsidR="00D870BA" w:rsidRDefault="00D870BA"/>
                    </w:tc>
                    <w:tc>
                      <w:tcPr>
                        <w:tcW w:w="1972" w:type="pct"/>
                      </w:tcPr>
                      <w:p w:rsidR="00D870BA" w:rsidRDefault="00D870BA" w:rsidP="00F750A6">
                        <w:pPr>
                          <w:pStyle w:val="Pieddepage"/>
                        </w:pPr>
                      </w:p>
                    </w:tc>
                  </w:tr>
                </w:tbl>
                <w:p w:rsidR="00D870BA" w:rsidRDefault="00D870BA"/>
              </w:tc>
            </w:tr>
          </w:tbl>
          <w:p w:rsidR="00D870BA" w:rsidRDefault="00D870BA"/>
        </w:tc>
        <w:tc>
          <w:tcPr>
            <w:tcW w:w="507" w:type="dxa"/>
            <w:gridSpan w:val="2"/>
          </w:tcPr>
          <w:p w:rsidR="00D870BA" w:rsidRDefault="00D870BA"/>
        </w:tc>
        <w:tc>
          <w:tcPr>
            <w:tcW w:w="709" w:type="dxa"/>
            <w:gridSpan w:val="2"/>
          </w:tcPr>
          <w:p w:rsidR="00D870BA" w:rsidRDefault="00D870BA"/>
        </w:tc>
        <w:tc>
          <w:tcPr>
            <w:tcW w:w="3598" w:type="dxa"/>
            <w:gridSpan w:val="2"/>
          </w:tcPr>
          <w:tbl>
            <w:tblPr>
              <w:tblStyle w:val="Dispositionde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598"/>
            </w:tblGrid>
            <w:tr w:rsidR="00D870BA" w:rsidTr="00500DC9">
              <w:trPr>
                <w:trHeight w:hRule="exact" w:val="5767"/>
              </w:trPr>
              <w:tc>
                <w:tcPr>
                  <w:tcW w:w="5000" w:type="pct"/>
                </w:tcPr>
                <w:p w:rsidR="00846D1F" w:rsidRDefault="00846D1F" w:rsidP="00846D1F">
                  <w:sdt>
                    <w:sdtPr>
                      <w:alias w:val="Cliquez sur l'icône à droite pour remplacer l'image"/>
                      <w:tag w:val="Cliquez sur l'icône à droite pour remplacer l'image"/>
                      <w:id w:val="-1930723300"/>
                      <w:picture/>
                    </w:sdtPr>
                    <w:sdtContent>
                      <w:r>
                        <w:rPr>
                          <w:noProof/>
                        </w:rPr>
                        <w:drawing>
                          <wp:inline distT="0" distB="0" distL="0" distR="0" wp14:anchorId="4C24E76B" wp14:editId="3ECEC3F8">
                            <wp:extent cx="2418830" cy="3048000"/>
                            <wp:effectExtent l="0" t="0" r="635" b="0"/>
                            <wp:docPr id="18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0155" cy="3049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D870BA" w:rsidRDefault="00F750A6" w:rsidP="00F41544">
                  <w:r>
                    <w:t xml:space="preserve"> </w:t>
                  </w:r>
                </w:p>
              </w:tc>
            </w:tr>
            <w:tr w:rsidR="00D870BA" w:rsidTr="00500DC9">
              <w:trPr>
                <w:trHeight w:hRule="exact" w:val="360"/>
              </w:trPr>
              <w:tc>
                <w:tcPr>
                  <w:tcW w:w="5000" w:type="pct"/>
                </w:tcPr>
                <w:p w:rsidR="00D870BA" w:rsidRDefault="00D870BA"/>
              </w:tc>
            </w:tr>
            <w:tr w:rsidR="00D870BA" w:rsidTr="00500DC9">
              <w:trPr>
                <w:trHeight w:hRule="exact" w:val="3244"/>
              </w:trPr>
              <w:sdt>
                <w:sdtPr>
                  <w:alias w:val="Société"/>
                  <w:tag w:val=""/>
                  <w:id w:val="1477263083"/>
                  <w:placeholder>
                    <w:docPart w:val="8E24DC8A182044CB923C8BD92719B312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:rsidR="00D870BA" w:rsidRDefault="008920C7" w:rsidP="008920C7">
                      <w:pPr>
                        <w:pStyle w:val="Titre"/>
                      </w:pPr>
                      <w:r>
                        <w:t>Les brÛlures</w:t>
                      </w:r>
                    </w:p>
                  </w:tc>
                </w:sdtContent>
              </w:sdt>
            </w:tr>
            <w:tr w:rsidR="00D870BA" w:rsidTr="00500DC9">
              <w:trPr>
                <w:trHeight w:hRule="exact" w:val="1441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:rsidR="00D870BA" w:rsidRPr="00936B3E" w:rsidRDefault="008920C7" w:rsidP="00F750A6">
                  <w:pPr>
                    <w:pStyle w:val="Sous-titre"/>
                    <w:rPr>
                      <w:sz w:val="28"/>
                      <w:szCs w:val="28"/>
                    </w:rPr>
                  </w:pPr>
                  <w:r w:rsidRPr="00936B3E">
                    <w:rPr>
                      <w:sz w:val="28"/>
                      <w:szCs w:val="28"/>
                    </w:rPr>
                    <w:t xml:space="preserve">Prévenir et soigner </w:t>
                  </w:r>
                  <w:r w:rsidR="00B30ECE" w:rsidRPr="00936B3E">
                    <w:rPr>
                      <w:sz w:val="28"/>
                      <w:szCs w:val="28"/>
                    </w:rPr>
                    <w:t>les brûlures</w:t>
                  </w:r>
                </w:p>
              </w:tc>
            </w:tr>
          </w:tbl>
          <w:p w:rsidR="00D870BA" w:rsidRDefault="00D870BA"/>
        </w:tc>
      </w:tr>
      <w:tr w:rsidR="00D870BA" w:rsidTr="009E7979">
        <w:trPr>
          <w:gridBefore w:val="1"/>
          <w:wBefore w:w="284" w:type="dxa"/>
          <w:trHeight w:hRule="exact" w:val="10813"/>
          <w:jc w:val="center"/>
        </w:trPr>
        <w:tc>
          <w:tcPr>
            <w:tcW w:w="4234" w:type="dxa"/>
            <w:gridSpan w:val="2"/>
          </w:tcPr>
          <w:p w:rsidR="00D870BA" w:rsidRDefault="00D870BA"/>
          <w:p w:rsidR="00947481" w:rsidRDefault="00936B3E" w:rsidP="00D31A98">
            <w:pPr>
              <w:pStyle w:val="Titre1"/>
              <w:rPr>
                <w:rStyle w:val="Titre1Car"/>
                <w:b/>
                <w:bCs/>
              </w:rPr>
            </w:pPr>
            <w:r>
              <w:rPr>
                <w:rStyle w:val="Titre1Car"/>
                <w:b/>
                <w:bCs/>
              </w:rPr>
              <w:t>Les brûlures</w:t>
            </w:r>
          </w:p>
          <w:p w:rsidR="00D870BA" w:rsidRDefault="00D870BA" w:rsidP="00A206F4">
            <w:pPr>
              <w:pStyle w:val="Titre1"/>
              <w:spacing w:after="120"/>
              <w:rPr>
                <w:rStyle w:val="Titre1Car"/>
              </w:rPr>
            </w:pPr>
          </w:p>
          <w:sdt>
            <w:sdtPr>
              <w:id w:val="-1285194909"/>
              <w:picture/>
            </w:sdtPr>
            <w:sdtContent>
              <w:p w:rsidR="00874A05" w:rsidRDefault="00874A05" w:rsidP="00874A05">
                <w:r>
                  <w:rPr>
                    <w:noProof/>
                  </w:rPr>
                  <w:drawing>
                    <wp:inline distT="0" distB="0" distL="0" distR="0" wp14:anchorId="0E05ED27" wp14:editId="146798A8">
                      <wp:extent cx="2434336" cy="1828800"/>
                      <wp:effectExtent l="0" t="0" r="4445" b="0"/>
                      <wp:docPr id="14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433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7481" w:rsidRPr="00947481" w:rsidRDefault="005805ED" w:rsidP="0079138F">
            <w:pPr>
              <w:pStyle w:val="Lgende"/>
              <w:jc w:val="center"/>
            </w:pPr>
            <w:r>
              <w:t>Une brûlure du premier degré</w:t>
            </w:r>
          </w:p>
          <w:p w:rsidR="00A206F4" w:rsidRDefault="00A206F4" w:rsidP="00947481">
            <w:pPr>
              <w:pStyle w:val="Titre2"/>
              <w:spacing w:before="200"/>
              <w:rPr>
                <w:rStyle w:val="Titre2Car"/>
                <w:b/>
                <w:bCs/>
                <w:color w:val="auto"/>
              </w:rPr>
            </w:pPr>
          </w:p>
          <w:p w:rsidR="00947481" w:rsidRDefault="00947481" w:rsidP="00A206F4">
            <w:pPr>
              <w:pStyle w:val="Titre2"/>
              <w:spacing w:before="200" w:after="240"/>
              <w:rPr>
                <w:rStyle w:val="Titre2Car"/>
                <w:bCs/>
                <w:color w:val="auto"/>
              </w:rPr>
            </w:pPr>
            <w:r w:rsidRPr="0028067B">
              <w:rPr>
                <w:rStyle w:val="Titre2Car"/>
                <w:b/>
                <w:bCs/>
                <w:color w:val="auto"/>
              </w:rPr>
              <w:t>Définition :</w:t>
            </w:r>
            <w:r w:rsidR="00936B3E">
              <w:rPr>
                <w:rStyle w:val="Titre2Car"/>
                <w:b/>
                <w:bCs/>
                <w:color w:val="auto"/>
              </w:rPr>
              <w:t xml:space="preserve"> </w:t>
            </w:r>
          </w:p>
          <w:p w:rsidR="00936B3E" w:rsidRPr="00B72467" w:rsidRDefault="005805ED" w:rsidP="00866D5B">
            <w:pPr>
              <w:jc w:val="both"/>
              <w:rPr>
                <w:color w:val="auto"/>
              </w:rPr>
            </w:pPr>
            <w:r w:rsidRPr="00B72467">
              <w:rPr>
                <w:color w:val="auto"/>
              </w:rPr>
              <w:t>Les brûlures sont des lésions graves de la peau et des structures sous-jacentes.</w:t>
            </w:r>
          </w:p>
          <w:p w:rsidR="005805ED" w:rsidRPr="00B72467" w:rsidRDefault="005805ED" w:rsidP="00866D5B">
            <w:pPr>
              <w:jc w:val="both"/>
              <w:rPr>
                <w:color w:val="auto"/>
              </w:rPr>
            </w:pPr>
            <w:r w:rsidRPr="00B72467">
              <w:rPr>
                <w:color w:val="auto"/>
              </w:rPr>
              <w:t>La brûlure correspond à la destruction du revêtement cutané qui est une barrière contre les agressions extérieures, ce qui met la personne en danger d’infection grave.</w:t>
            </w:r>
          </w:p>
          <w:p w:rsidR="0051249E" w:rsidRDefault="005805ED" w:rsidP="00866D5B">
            <w:pPr>
              <w:jc w:val="both"/>
              <w:rPr>
                <w:color w:val="auto"/>
              </w:rPr>
            </w:pPr>
            <w:r w:rsidRPr="00B72467">
              <w:rPr>
                <w:color w:val="auto"/>
              </w:rPr>
              <w:t>La gravité dépend de l'étendue et de la profondeur de la brûlure</w:t>
            </w:r>
          </w:p>
          <w:p w:rsidR="005805ED" w:rsidRPr="00B72467" w:rsidRDefault="005805ED" w:rsidP="00866D5B">
            <w:pPr>
              <w:jc w:val="both"/>
              <w:rPr>
                <w:color w:val="auto"/>
              </w:rPr>
            </w:pPr>
            <w:r w:rsidRPr="00B72467">
              <w:rPr>
                <w:color w:val="auto"/>
              </w:rPr>
              <w:t xml:space="preserve"> mais également des antécédents et des lésions éventuellement associées</w:t>
            </w:r>
            <w:r w:rsidR="00B72467">
              <w:rPr>
                <w:color w:val="auto"/>
              </w:rPr>
              <w:t xml:space="preserve"> et de sa localisation.</w:t>
            </w:r>
          </w:p>
          <w:p w:rsidR="00947481" w:rsidRPr="00947481" w:rsidRDefault="00947481" w:rsidP="00866D5B">
            <w:pPr>
              <w:jc w:val="both"/>
            </w:pPr>
          </w:p>
        </w:tc>
        <w:tc>
          <w:tcPr>
            <w:tcW w:w="707" w:type="dxa"/>
            <w:gridSpan w:val="2"/>
          </w:tcPr>
          <w:p w:rsidR="00D870BA" w:rsidRDefault="00D870BA"/>
        </w:tc>
        <w:tc>
          <w:tcPr>
            <w:tcW w:w="587" w:type="dxa"/>
            <w:gridSpan w:val="2"/>
          </w:tcPr>
          <w:p w:rsidR="00D870BA" w:rsidRDefault="00D870BA" w:rsidP="00866D5B">
            <w:pPr>
              <w:jc w:val="both"/>
            </w:pPr>
          </w:p>
          <w:p w:rsidR="00B72467" w:rsidRDefault="00B72467" w:rsidP="00866D5B">
            <w:pPr>
              <w:jc w:val="both"/>
            </w:pPr>
          </w:p>
          <w:p w:rsidR="00A206F4" w:rsidRDefault="00A206F4" w:rsidP="00866D5B">
            <w:pPr>
              <w:jc w:val="both"/>
            </w:pPr>
          </w:p>
          <w:p w:rsidR="00B72467" w:rsidRDefault="00B72467" w:rsidP="00866D5B">
            <w:pPr>
              <w:jc w:val="both"/>
            </w:pPr>
          </w:p>
        </w:tc>
        <w:tc>
          <w:tcPr>
            <w:tcW w:w="4253" w:type="dxa"/>
            <w:gridSpan w:val="2"/>
          </w:tcPr>
          <w:p w:rsidR="006D361E" w:rsidRDefault="006D361E" w:rsidP="00866D5B">
            <w:pPr>
              <w:spacing w:after="120" w:line="280" w:lineRule="exact"/>
              <w:jc w:val="both"/>
              <w:rPr>
                <w:rFonts w:eastAsia="Times New Roman" w:cs="Times New Roman"/>
                <w:b/>
                <w:color w:val="auto"/>
              </w:rPr>
            </w:pPr>
          </w:p>
          <w:p w:rsidR="00A206F4" w:rsidRDefault="00A206F4" w:rsidP="00A206F4">
            <w:pPr>
              <w:spacing w:before="120" w:after="160"/>
              <w:jc w:val="both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947481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Signes cliniques</w:t>
            </w: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 </w:t>
            </w:r>
            <w:r w:rsidRPr="00947481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:</w:t>
            </w:r>
          </w:p>
          <w:p w:rsidR="00A67D14" w:rsidRDefault="00A206F4" w:rsidP="00A206F4">
            <w:pPr>
              <w:spacing w:after="160" w:line="280" w:lineRule="exact"/>
              <w:jc w:val="both"/>
              <w:rPr>
                <w:rFonts w:eastAsia="Times New Roman" w:cs="Times New Roman"/>
                <w:b/>
                <w:color w:val="auto"/>
              </w:rPr>
            </w:pPr>
            <w:r w:rsidRPr="00B72467">
              <w:rPr>
                <w:color w:val="auto"/>
              </w:rPr>
              <w:t>On distingue trois degrés de brûlures :</w:t>
            </w:r>
          </w:p>
          <w:p w:rsidR="00A56187" w:rsidRPr="00B72467" w:rsidRDefault="00B72467" w:rsidP="00866D5B">
            <w:pPr>
              <w:spacing w:after="120" w:line="280" w:lineRule="exact"/>
              <w:jc w:val="both"/>
              <w:rPr>
                <w:rFonts w:eastAsia="Times New Roman" w:cs="Times New Roman"/>
                <w:color w:val="auto"/>
              </w:rPr>
            </w:pPr>
            <w:r w:rsidRPr="00B72467">
              <w:rPr>
                <w:rFonts w:eastAsia="Times New Roman" w:cs="Times New Roman"/>
                <w:b/>
                <w:color w:val="auto"/>
              </w:rPr>
              <w:t>La brûlure de 1</w:t>
            </w:r>
            <w:r w:rsidRPr="00B72467">
              <w:rPr>
                <w:rFonts w:eastAsia="Times New Roman" w:cs="Times New Roman"/>
                <w:b/>
                <w:color w:val="auto"/>
                <w:vertAlign w:val="superscript"/>
              </w:rPr>
              <w:t>er</w:t>
            </w:r>
            <w:r w:rsidRPr="00B72467">
              <w:rPr>
                <w:rFonts w:eastAsia="Times New Roman" w:cs="Times New Roman"/>
                <w:b/>
                <w:color w:val="auto"/>
              </w:rPr>
              <w:t xml:space="preserve"> degré</w:t>
            </w:r>
            <w:r w:rsidRPr="00B72467">
              <w:rPr>
                <w:rFonts w:eastAsia="Times New Roman" w:cs="Times New Roman"/>
                <w:color w:val="auto"/>
              </w:rPr>
              <w:t xml:space="preserve"> correspond au coup de soleil avec un érythème ou une rougeur douloureuse. C’est la surface cornée de l'épiderme qui est concernée avec une régression spontanée en 48 à 72 heures accompagnée d’une desquamation secondaire. C’est une brûlure superficielle habituellement sans complications.</w:t>
            </w:r>
          </w:p>
          <w:p w:rsidR="00A56187" w:rsidRPr="00B72467" w:rsidRDefault="00B72467" w:rsidP="00866D5B">
            <w:pPr>
              <w:spacing w:after="120" w:line="280" w:lineRule="exact"/>
              <w:jc w:val="both"/>
              <w:rPr>
                <w:rFonts w:eastAsia="Times New Roman" w:cs="Times New Roman"/>
                <w:color w:val="auto"/>
              </w:rPr>
            </w:pPr>
            <w:r w:rsidRPr="00B72467">
              <w:rPr>
                <w:rFonts w:eastAsia="Times New Roman" w:cs="Times New Roman"/>
                <w:b/>
                <w:color w:val="auto"/>
              </w:rPr>
              <w:t>La brûlure de 2</w:t>
            </w:r>
            <w:r w:rsidRPr="00B72467">
              <w:rPr>
                <w:rFonts w:eastAsia="Times New Roman" w:cs="Times New Roman"/>
                <w:b/>
                <w:color w:val="auto"/>
                <w:vertAlign w:val="superscript"/>
              </w:rPr>
              <w:t>e</w:t>
            </w:r>
            <w:r w:rsidRPr="00B72467">
              <w:rPr>
                <w:rFonts w:eastAsia="Times New Roman" w:cs="Times New Roman"/>
                <w:b/>
                <w:color w:val="auto"/>
              </w:rPr>
              <w:t xml:space="preserve"> degré</w:t>
            </w:r>
            <w:r w:rsidRPr="00B72467">
              <w:rPr>
                <w:rFonts w:eastAsia="Times New Roman" w:cs="Times New Roman"/>
                <w:color w:val="auto"/>
              </w:rPr>
              <w:t xml:space="preserve"> superficielle touche l'épiderme et respecte la membrane basale</w:t>
            </w:r>
            <w:r>
              <w:rPr>
                <w:rFonts w:eastAsia="Times New Roman" w:cs="Times New Roman"/>
                <w:color w:val="auto"/>
              </w:rPr>
              <w:t>.</w:t>
            </w:r>
            <w:r w:rsidRPr="00B72467">
              <w:rPr>
                <w:rFonts w:eastAsia="Times New Roman" w:cs="Times New Roman"/>
                <w:color w:val="auto"/>
              </w:rPr>
              <w:t xml:space="preserve"> Caractérisée par la présence de phlyctènes qui apparaissent en une minute à deux heures et dessous la peau rose, suintante. Cette lésion est, en général, très douloureuse</w:t>
            </w:r>
            <w:r>
              <w:rPr>
                <w:rFonts w:eastAsia="Times New Roman" w:cs="Times New Roman"/>
                <w:color w:val="auto"/>
              </w:rPr>
              <w:t xml:space="preserve"> et</w:t>
            </w:r>
            <w:r w:rsidRPr="00B72467">
              <w:rPr>
                <w:rFonts w:eastAsia="Times New Roman" w:cs="Times New Roman"/>
                <w:color w:val="auto"/>
              </w:rPr>
              <w:t xml:space="preserve"> va guérir en une semaine à dix jours.</w:t>
            </w:r>
          </w:p>
          <w:p w:rsidR="00A56187" w:rsidRDefault="00B72467" w:rsidP="00866D5B">
            <w:pPr>
              <w:spacing w:after="120" w:line="280" w:lineRule="exact"/>
              <w:jc w:val="both"/>
              <w:rPr>
                <w:rFonts w:eastAsia="Times New Roman" w:cs="Times New Roman"/>
                <w:color w:val="auto"/>
              </w:rPr>
            </w:pPr>
            <w:r w:rsidRPr="00B72467">
              <w:rPr>
                <w:rFonts w:eastAsia="Times New Roman" w:cs="Times New Roman"/>
                <w:b/>
                <w:color w:val="auto"/>
              </w:rPr>
              <w:t>La brûlure de 2</w:t>
            </w:r>
            <w:r w:rsidRPr="00B72467">
              <w:rPr>
                <w:rFonts w:eastAsia="Times New Roman" w:cs="Times New Roman"/>
                <w:b/>
                <w:color w:val="auto"/>
                <w:vertAlign w:val="superscript"/>
              </w:rPr>
              <w:t>e</w:t>
            </w:r>
            <w:r w:rsidRPr="00B72467">
              <w:rPr>
                <w:rFonts w:eastAsia="Times New Roman" w:cs="Times New Roman"/>
                <w:b/>
                <w:color w:val="auto"/>
              </w:rPr>
              <w:t xml:space="preserve"> degré profonde</w:t>
            </w:r>
            <w:r w:rsidRPr="00B72467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>détruit l’épiderme et les couches supérieures du derme</w:t>
            </w:r>
            <w:r w:rsidRPr="00B72467">
              <w:rPr>
                <w:rFonts w:eastAsia="Times New Roman" w:cs="Times New Roman"/>
                <w:color w:val="auto"/>
              </w:rPr>
              <w:t xml:space="preserve">. </w:t>
            </w:r>
            <w:r>
              <w:rPr>
                <w:rFonts w:eastAsia="Times New Roman" w:cs="Times New Roman"/>
                <w:color w:val="auto"/>
              </w:rPr>
              <w:t>Le derme apparaît blanc car les vaisseaux sanguins ont été détruits</w:t>
            </w:r>
            <w:r w:rsidRPr="00B72467">
              <w:rPr>
                <w:rFonts w:eastAsia="Times New Roman" w:cs="Times New Roman"/>
                <w:color w:val="auto"/>
              </w:rPr>
              <w:t xml:space="preserve">. </w:t>
            </w:r>
            <w:r>
              <w:rPr>
                <w:rFonts w:eastAsia="Times New Roman" w:cs="Times New Roman"/>
                <w:color w:val="auto"/>
              </w:rPr>
              <w:t xml:space="preserve">La douleur est faible car les terminaisons nerveuses ont été </w:t>
            </w:r>
            <w:proofErr w:type="spellStart"/>
            <w:r>
              <w:rPr>
                <w:rFonts w:eastAsia="Times New Roman" w:cs="Times New Roman"/>
                <w:color w:val="auto"/>
              </w:rPr>
              <w:t>brûlées.</w:t>
            </w:r>
            <w:r w:rsidRPr="00B72467">
              <w:rPr>
                <w:rFonts w:eastAsia="Times New Roman" w:cs="Times New Roman"/>
                <w:color w:val="auto"/>
              </w:rPr>
              <w:t>La</w:t>
            </w:r>
            <w:proofErr w:type="spellEnd"/>
            <w:r w:rsidRPr="00B72467">
              <w:rPr>
                <w:rFonts w:eastAsia="Times New Roman" w:cs="Times New Roman"/>
                <w:color w:val="auto"/>
              </w:rPr>
              <w:t xml:space="preserve"> brûlure cicatrise théoriquement en dix jours à trois semaines.</w:t>
            </w:r>
          </w:p>
          <w:p w:rsidR="00B72467" w:rsidRDefault="00B72467" w:rsidP="00866D5B">
            <w:pPr>
              <w:spacing w:after="120" w:line="280" w:lineRule="exact"/>
              <w:jc w:val="both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B72467">
              <w:rPr>
                <w:rFonts w:eastAsia="Times New Roman" w:cs="Times New Roman"/>
                <w:b/>
                <w:color w:val="auto"/>
              </w:rPr>
              <w:t>La brûlure de 3</w:t>
            </w:r>
            <w:r w:rsidRPr="00B72467">
              <w:rPr>
                <w:rFonts w:eastAsia="Times New Roman" w:cs="Times New Roman"/>
                <w:b/>
                <w:color w:val="auto"/>
                <w:vertAlign w:val="superscript"/>
              </w:rPr>
              <w:t>e</w:t>
            </w:r>
            <w:r w:rsidRPr="00B72467">
              <w:rPr>
                <w:rFonts w:eastAsia="Times New Roman" w:cs="Times New Roman"/>
                <w:b/>
                <w:color w:val="auto"/>
              </w:rPr>
              <w:t xml:space="preserve"> degré</w:t>
            </w:r>
            <w:r w:rsidRPr="00B72467">
              <w:rPr>
                <w:rFonts w:eastAsia="Times New Roman" w:cs="Times New Roman"/>
                <w:color w:val="auto"/>
              </w:rPr>
              <w:t xml:space="preserve"> correspond à une destruction de tout l'épiderme </w:t>
            </w:r>
            <w:r>
              <w:rPr>
                <w:rFonts w:eastAsia="Times New Roman" w:cs="Times New Roman"/>
                <w:color w:val="auto"/>
              </w:rPr>
              <w:t>voire des tissus sous-jacents (nerfs, vaisseaux sanguins, muscle, os)</w:t>
            </w:r>
            <w:r w:rsidRPr="00B72467">
              <w:rPr>
                <w:rFonts w:eastAsia="Times New Roman" w:cs="Times New Roman"/>
                <w:color w:val="auto"/>
              </w:rPr>
              <w:t xml:space="preserve">. Le patient est souvent calme, les lésions sont indolores. Le pronostic vital est rapidement engagé. La peau prend un aspect cartonné, carbonisé. </w:t>
            </w:r>
          </w:p>
          <w:p w:rsidR="00874A05" w:rsidRPr="0093631C" w:rsidRDefault="00874A05" w:rsidP="00866D5B">
            <w:pPr>
              <w:pStyle w:val="NormalWeb"/>
              <w:spacing w:after="12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D870BA" w:rsidRDefault="00D870BA"/>
        </w:tc>
        <w:tc>
          <w:tcPr>
            <w:tcW w:w="1025" w:type="dxa"/>
            <w:gridSpan w:val="2"/>
          </w:tcPr>
          <w:p w:rsidR="00D870BA" w:rsidRDefault="00D870BA" w:rsidP="00866D5B">
            <w:pPr>
              <w:ind w:right="-40"/>
            </w:pPr>
          </w:p>
        </w:tc>
        <w:tc>
          <w:tcPr>
            <w:tcW w:w="3686" w:type="dxa"/>
            <w:gridSpan w:val="2"/>
          </w:tcPr>
          <w:sdt>
            <w:sdtPr>
              <w:id w:val="1665123103"/>
              <w:picture/>
            </w:sdtPr>
            <w:sdtEndPr/>
            <w:sdtContent>
              <w:p w:rsidR="00D870BA" w:rsidRDefault="00BA142F" w:rsidP="0079138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558344E" wp14:editId="03DB74EC">
                      <wp:extent cx="1377572" cy="1836763"/>
                      <wp:effectExtent l="0" t="0" r="0" b="0"/>
                      <wp:docPr id="12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7572" cy="18367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74A05" w:rsidRDefault="0093631C" w:rsidP="0079138F">
            <w:pPr>
              <w:pStyle w:val="Lgende"/>
              <w:jc w:val="center"/>
              <w:rPr>
                <w:i w:val="0"/>
                <w:iCs w:val="0"/>
                <w:sz w:val="20"/>
              </w:rPr>
            </w:pPr>
            <w:r>
              <w:t>Le feu, un agent thermique responsable des brûlures</w:t>
            </w:r>
          </w:p>
          <w:p w:rsidR="0093631C" w:rsidRPr="00947481" w:rsidRDefault="0093631C" w:rsidP="0093631C">
            <w:pPr>
              <w:rPr>
                <w:rFonts w:asciiTheme="majorHAnsi" w:hAnsiTheme="majorHAnsi"/>
                <w:i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Les agents responsables</w:t>
            </w:r>
            <w:r w:rsidRPr="00947481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 :</w:t>
            </w:r>
          </w:p>
          <w:p w:rsidR="0093631C" w:rsidRPr="00D74F7F" w:rsidRDefault="0093631C" w:rsidP="00866D5B">
            <w:pPr>
              <w:pStyle w:val="NormalWeb"/>
              <w:spacing w:before="0" w:beforeAutospacing="0" w:after="8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4F7F">
              <w:rPr>
                <w:rStyle w:val="Accentuation"/>
                <w:rFonts w:asciiTheme="minorHAnsi" w:hAnsiTheme="minorHAnsi"/>
                <w:i w:val="0"/>
                <w:sz w:val="20"/>
                <w:szCs w:val="20"/>
              </w:rPr>
              <w:t>- Les agents thermiques :</w:t>
            </w:r>
            <w:r w:rsidRPr="00D74F7F">
              <w:rPr>
                <w:rFonts w:asciiTheme="minorHAnsi" w:hAnsiTheme="minorHAnsi"/>
                <w:sz w:val="20"/>
                <w:szCs w:val="20"/>
              </w:rPr>
              <w:t xml:space="preserve"> inflammation, hydrocarbure, gaz, flash électrique.</w:t>
            </w:r>
          </w:p>
          <w:p w:rsidR="0093631C" w:rsidRPr="00D74F7F" w:rsidRDefault="0093631C" w:rsidP="00866D5B">
            <w:pPr>
              <w:pStyle w:val="NormalWeb"/>
              <w:spacing w:before="0" w:beforeAutospacing="0" w:after="8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74F7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D74F7F">
              <w:rPr>
                <w:rStyle w:val="Accentuation"/>
                <w:rFonts w:asciiTheme="minorHAnsi" w:hAnsiTheme="minorHAnsi"/>
                <w:i w:val="0"/>
                <w:sz w:val="20"/>
                <w:szCs w:val="20"/>
              </w:rPr>
              <w:t>Les agents chimiques :</w:t>
            </w:r>
            <w:r w:rsidRPr="00D74F7F">
              <w:rPr>
                <w:rFonts w:asciiTheme="minorHAnsi" w:hAnsiTheme="minorHAnsi"/>
                <w:sz w:val="20"/>
                <w:szCs w:val="20"/>
              </w:rPr>
              <w:t xml:space="preserve"> projection d'acide ou de base, particulièrement sur la face, les mains et les yeux.</w:t>
            </w:r>
          </w:p>
          <w:p w:rsidR="00D74F7F" w:rsidRDefault="0093631C" w:rsidP="00866D5B">
            <w:pPr>
              <w:pStyle w:val="Lgende"/>
              <w:spacing w:after="160"/>
              <w:jc w:val="both"/>
              <w:rPr>
                <w:i w:val="0"/>
                <w:color w:val="auto"/>
                <w:sz w:val="20"/>
              </w:rPr>
            </w:pPr>
            <w:r w:rsidRPr="00D74F7F">
              <w:rPr>
                <w:i w:val="0"/>
                <w:color w:val="auto"/>
                <w:sz w:val="20"/>
              </w:rPr>
              <w:t xml:space="preserve">- </w:t>
            </w:r>
            <w:r w:rsidRPr="00D74F7F">
              <w:rPr>
                <w:rStyle w:val="Accentuation"/>
                <w:color w:val="auto"/>
                <w:sz w:val="20"/>
              </w:rPr>
              <w:t>Les agents électriques :</w:t>
            </w:r>
            <w:r w:rsidRPr="00D74F7F">
              <w:rPr>
                <w:i w:val="0"/>
                <w:color w:val="auto"/>
                <w:sz w:val="20"/>
              </w:rPr>
              <w:t xml:space="preserve"> passage d</w:t>
            </w:r>
            <w:r w:rsidRPr="00D74F7F">
              <w:rPr>
                <w:i w:val="0"/>
                <w:color w:val="auto"/>
                <w:sz w:val="20"/>
              </w:rPr>
              <w:t xml:space="preserve">e </w:t>
            </w:r>
            <w:r w:rsidRPr="00D74F7F">
              <w:rPr>
                <w:i w:val="0"/>
                <w:color w:val="auto"/>
                <w:sz w:val="20"/>
              </w:rPr>
              <w:t>courant</w:t>
            </w:r>
            <w:r w:rsidRPr="00D74F7F">
              <w:rPr>
                <w:i w:val="0"/>
                <w:color w:val="auto"/>
                <w:sz w:val="20"/>
              </w:rPr>
              <w:t xml:space="preserve"> </w:t>
            </w:r>
            <w:r w:rsidRPr="00D74F7F">
              <w:rPr>
                <w:i w:val="0"/>
                <w:color w:val="auto"/>
                <w:sz w:val="20"/>
              </w:rPr>
              <w:t>à travers l'organisme (points d'entrée et de sortie).</w:t>
            </w:r>
          </w:p>
          <w:p w:rsidR="00866D5B" w:rsidRPr="00866D5B" w:rsidRDefault="00866D5B" w:rsidP="00866D5B">
            <w:pPr>
              <w:spacing w:before="160"/>
              <w:ind w:left="-57" w:firstLine="57"/>
              <w:jc w:val="both"/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Les </w:t>
            </w:r>
            <w:r w:rsidRPr="00726F91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 xml:space="preserve">Traitements : </w:t>
            </w:r>
          </w:p>
          <w:tbl>
            <w:tblPr>
              <w:tblStyle w:val="Grilledutableau"/>
              <w:tblW w:w="3626" w:type="dxa"/>
              <w:tblBorders>
                <w:top w:val="single" w:sz="4" w:space="0" w:color="027E6F" w:themeColor="accent1" w:themeShade="BF"/>
                <w:left w:val="none" w:sz="0" w:space="0" w:color="auto"/>
                <w:bottom w:val="single" w:sz="4" w:space="0" w:color="027E6F" w:themeColor="accent1" w:themeShade="B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6"/>
            </w:tblGrid>
            <w:tr w:rsidR="0093631C" w:rsidRPr="00947481" w:rsidTr="009E7979">
              <w:trPr>
                <w:trHeight w:val="1099"/>
              </w:trPr>
              <w:tc>
                <w:tcPr>
                  <w:tcW w:w="3626" w:type="dxa"/>
                </w:tcPr>
                <w:p w:rsidR="0093631C" w:rsidRPr="00866D5B" w:rsidRDefault="00BA20EA" w:rsidP="00866D5B">
                  <w:pPr>
                    <w:jc w:val="center"/>
                    <w:rPr>
                      <w:b/>
                      <w:i/>
                      <w:color w:val="03A996" w:themeColor="accent1"/>
                      <w:sz w:val="24"/>
                      <w:szCs w:val="24"/>
                    </w:rPr>
                  </w:pPr>
                  <w:r w:rsidRPr="00866D5B">
                    <w:rPr>
                      <w:b/>
                      <w:i/>
                      <w:color w:val="03A996" w:themeColor="accent1"/>
                      <w:sz w:val="24"/>
                      <w:szCs w:val="24"/>
                    </w:rPr>
                    <w:t>En cas de brûlure par eau chaude ou par exposition au feu, sur les lieux de l'accident, il faut</w:t>
                  </w:r>
                  <w:r w:rsidRPr="00866D5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866D5B">
                    <w:rPr>
                      <w:b/>
                      <w:i/>
                      <w:color w:val="03A996" w:themeColor="accent1"/>
                      <w:sz w:val="24"/>
                      <w:szCs w:val="24"/>
                    </w:rPr>
                    <w:t>procéder au refroid</w:t>
                  </w:r>
                  <w:r w:rsidR="00D74F7F" w:rsidRPr="00866D5B">
                    <w:rPr>
                      <w:b/>
                      <w:i/>
                      <w:color w:val="03A996" w:themeColor="accent1"/>
                      <w:sz w:val="24"/>
                      <w:szCs w:val="24"/>
                    </w:rPr>
                    <w:t>issement selon la règle des 15</w:t>
                  </w:r>
                  <w:r w:rsidR="00866D5B">
                    <w:rPr>
                      <w:b/>
                      <w:i/>
                      <w:color w:val="03A996" w:themeColor="accent1"/>
                      <w:sz w:val="24"/>
                      <w:szCs w:val="24"/>
                    </w:rPr>
                    <w:t> :</w:t>
                  </w:r>
                </w:p>
              </w:tc>
            </w:tr>
          </w:tbl>
          <w:p w:rsidR="00866D5B" w:rsidRDefault="00866D5B" w:rsidP="00866D5B">
            <w:pPr>
              <w:spacing w:before="120" w:after="80" w:line="28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- dans les 15 minutes suivant la brûlure,</w:t>
            </w:r>
          </w:p>
          <w:p w:rsidR="00866D5B" w:rsidRPr="00866D5B" w:rsidRDefault="00866D5B" w:rsidP="00866D5B">
            <w:pPr>
              <w:spacing w:after="80" w:line="280" w:lineRule="exact"/>
              <w:jc w:val="both"/>
              <w:rPr>
                <w:color w:val="auto"/>
              </w:rPr>
            </w:pPr>
            <w:r w:rsidRPr="00866D5B">
              <w:rPr>
                <w:color w:val="auto"/>
              </w:rPr>
              <w:t xml:space="preserve">- </w:t>
            </w:r>
            <w:r>
              <w:rPr>
                <w:color w:val="auto"/>
              </w:rPr>
              <w:t xml:space="preserve">avec de l’eau située </w:t>
            </w:r>
            <w:r w:rsidRPr="00866D5B">
              <w:rPr>
                <w:color w:val="auto"/>
              </w:rPr>
              <w:t>entre 15 à 25 degrés.</w:t>
            </w:r>
          </w:p>
          <w:p w:rsidR="00866D5B" w:rsidRPr="00866D5B" w:rsidRDefault="00866D5B" w:rsidP="00866D5B">
            <w:pPr>
              <w:spacing w:after="80" w:line="280" w:lineRule="exact"/>
              <w:jc w:val="both"/>
              <w:rPr>
                <w:color w:val="auto"/>
              </w:rPr>
            </w:pPr>
            <w:r w:rsidRPr="00866D5B">
              <w:rPr>
                <w:color w:val="auto"/>
              </w:rPr>
              <w:t xml:space="preserve">- </w:t>
            </w:r>
            <w:r>
              <w:rPr>
                <w:color w:val="auto"/>
              </w:rPr>
              <w:t xml:space="preserve">à </w:t>
            </w:r>
            <w:r w:rsidRPr="00866D5B">
              <w:rPr>
                <w:color w:val="auto"/>
              </w:rPr>
              <w:t xml:space="preserve">15 cm </w:t>
            </w:r>
            <w:r>
              <w:rPr>
                <w:color w:val="auto"/>
              </w:rPr>
              <w:t xml:space="preserve">de </w:t>
            </w:r>
            <w:r w:rsidRPr="00866D5B">
              <w:rPr>
                <w:color w:val="auto"/>
              </w:rPr>
              <w:t>distance pour faire ruisseler l'eau avec un jet peu puissant</w:t>
            </w:r>
            <w:r>
              <w:rPr>
                <w:color w:val="auto"/>
              </w:rPr>
              <w:t>.</w:t>
            </w:r>
          </w:p>
          <w:p w:rsidR="00874A05" w:rsidRDefault="00866D5B" w:rsidP="00866D5B">
            <w:pPr>
              <w:spacing w:after="80" w:line="280" w:lineRule="exact"/>
              <w:jc w:val="both"/>
            </w:pPr>
            <w:r w:rsidRPr="00866D5B">
              <w:rPr>
                <w:color w:val="auto"/>
              </w:rPr>
              <w:t>- 15 m</w:t>
            </w:r>
            <w:r>
              <w:rPr>
                <w:color w:val="auto"/>
              </w:rPr>
              <w:t>i</w:t>
            </w:r>
            <w:r w:rsidRPr="00866D5B">
              <w:rPr>
                <w:color w:val="auto"/>
              </w:rPr>
              <w:t xml:space="preserve">n </w:t>
            </w:r>
            <w:r>
              <w:rPr>
                <w:color w:val="auto"/>
              </w:rPr>
              <w:t xml:space="preserve">= </w:t>
            </w:r>
            <w:r w:rsidRPr="00866D5B">
              <w:rPr>
                <w:color w:val="auto"/>
              </w:rPr>
              <w:t>durée de</w:t>
            </w:r>
            <w:r>
              <w:rPr>
                <w:color w:val="auto"/>
              </w:rPr>
              <w:t xml:space="preserve"> l'opération de refroidissement.</w:t>
            </w:r>
          </w:p>
        </w:tc>
      </w:tr>
    </w:tbl>
    <w:p w:rsidR="00500DC9" w:rsidRDefault="00500DC9" w:rsidP="00423549">
      <w:pPr>
        <w:pStyle w:val="Sansinterligne"/>
      </w:pPr>
    </w:p>
    <w:sectPr w:rsidR="00500DC9" w:rsidSect="00434E6C">
      <w:pgSz w:w="15840" w:h="12240" w:orient="landscape" w:code="1"/>
      <w:pgMar w:top="720" w:right="851" w:bottom="680" w:left="8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A6"/>
    <w:rsid w:val="000D1900"/>
    <w:rsid w:val="000D2831"/>
    <w:rsid w:val="0028067B"/>
    <w:rsid w:val="003408F3"/>
    <w:rsid w:val="00353D99"/>
    <w:rsid w:val="00423549"/>
    <w:rsid w:val="00434E6C"/>
    <w:rsid w:val="00500DC9"/>
    <w:rsid w:val="0051249E"/>
    <w:rsid w:val="00547402"/>
    <w:rsid w:val="005805ED"/>
    <w:rsid w:val="00586A67"/>
    <w:rsid w:val="005D11EE"/>
    <w:rsid w:val="005F4B6F"/>
    <w:rsid w:val="00687D5D"/>
    <w:rsid w:val="006C4392"/>
    <w:rsid w:val="006D361E"/>
    <w:rsid w:val="00726F91"/>
    <w:rsid w:val="00747956"/>
    <w:rsid w:val="0079138F"/>
    <w:rsid w:val="007B3367"/>
    <w:rsid w:val="00846D1F"/>
    <w:rsid w:val="00866D5B"/>
    <w:rsid w:val="00874A05"/>
    <w:rsid w:val="008902E1"/>
    <w:rsid w:val="008920C7"/>
    <w:rsid w:val="0093631C"/>
    <w:rsid w:val="00936B3E"/>
    <w:rsid w:val="00947481"/>
    <w:rsid w:val="009E7979"/>
    <w:rsid w:val="00A206F4"/>
    <w:rsid w:val="00A56187"/>
    <w:rsid w:val="00A67D14"/>
    <w:rsid w:val="00B30ECE"/>
    <w:rsid w:val="00B375AB"/>
    <w:rsid w:val="00B72467"/>
    <w:rsid w:val="00BA142F"/>
    <w:rsid w:val="00BA20EA"/>
    <w:rsid w:val="00BD4244"/>
    <w:rsid w:val="00CB61F6"/>
    <w:rsid w:val="00D31A98"/>
    <w:rsid w:val="00D74F7F"/>
    <w:rsid w:val="00D870BA"/>
    <w:rsid w:val="00DD7D37"/>
    <w:rsid w:val="00E26197"/>
    <w:rsid w:val="00E34DE0"/>
    <w:rsid w:val="00E93286"/>
    <w:rsid w:val="00F41544"/>
    <w:rsid w:val="00F750A6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AB21-FD66-44BA-866C-7C30BD0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positiondetableau">
    <w:name w:val="Disposition de tableau"/>
    <w:basedOn w:val="TableauNormal"/>
    <w:uiPriority w:val="99"/>
    <w:tblPr>
      <w:tblCellMar>
        <w:left w:w="0" w:type="dxa"/>
        <w:right w:w="0" w:type="dxa"/>
      </w:tblCellMar>
    </w:tblPr>
  </w:style>
  <w:style w:type="paragraph" w:styleId="Lgende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Listepuces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Socit">
    <w:name w:val="Société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Pieddepage">
    <w:name w:val="footer"/>
    <w:basedOn w:val="Normal"/>
    <w:link w:val="PieddepageC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2"/>
    <w:rPr>
      <w:rFonts w:asciiTheme="minorHAnsi" w:eastAsiaTheme="minorEastAsia" w:hAnsiTheme="minorHAnsi" w:cstheme="minorBidi"/>
      <w:sz w:val="17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ous-titre">
    <w:name w:val="Subtitle"/>
    <w:basedOn w:val="Normal"/>
    <w:next w:val="Normal"/>
    <w:link w:val="Sous-titreC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ous-titreCar">
    <w:name w:val="Sous-titre Car"/>
    <w:basedOn w:val="Policepardfaut"/>
    <w:link w:val="Sous-titre"/>
    <w:uiPriority w:val="1"/>
    <w:rPr>
      <w:i/>
      <w:iCs/>
      <w:color w:val="FFFFFF" w:themeColor="background1"/>
      <w:sz w:val="26"/>
    </w:rPr>
  </w:style>
  <w:style w:type="paragraph" w:styleId="Sansinterligne">
    <w:name w:val="No Spacing"/>
    <w:uiPriority w:val="99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CitationCar">
    <w:name w:val="Citation Car"/>
    <w:basedOn w:val="Policepardfaut"/>
    <w:link w:val="Citation"/>
    <w:uiPriority w:val="1"/>
    <w:rPr>
      <w:i/>
      <w:iCs/>
      <w:color w:val="027E6F" w:themeColor="accent1" w:themeShade="BF"/>
      <w:sz w:val="30"/>
    </w:rPr>
  </w:style>
  <w:style w:type="character" w:customStyle="1" w:styleId="Titre3Car">
    <w:name w:val="Titre 3 Car"/>
    <w:basedOn w:val="Policepardfaut"/>
    <w:link w:val="Titre3"/>
    <w:uiPriority w:val="9"/>
    <w:semiHidden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5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centuation">
    <w:name w:val="Emphasis"/>
    <w:basedOn w:val="Policepardfaut"/>
    <w:uiPriority w:val="20"/>
    <w:qFormat/>
    <w:rsid w:val="00580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m_000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24DC8A182044CB923C8BD92719B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0502D-139F-4EF4-B7C0-0307DFFF790D}"/>
      </w:docPartPr>
      <w:docPartBody>
        <w:p w:rsidR="00000000" w:rsidRDefault="00BA584B">
          <w:pPr>
            <w:pStyle w:val="8E24DC8A182044CB923C8BD92719B312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75"/>
    <w:rsid w:val="00BA584B"/>
    <w:rsid w:val="00D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918EFC74B048518B9AF0A38E08BCD8">
    <w:name w:val="6C918EFC74B048518B9AF0A38E08BCD8"/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szCs w:val="20"/>
    </w:r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</w:rPr>
  </w:style>
  <w:style w:type="paragraph" w:customStyle="1" w:styleId="DEDF99EA0B3A4BFCA598CC5F83FC990B">
    <w:name w:val="DEDF99EA0B3A4BFCA598CC5F83FC990B"/>
  </w:style>
  <w:style w:type="paragraph" w:customStyle="1" w:styleId="C43364DA05134CDD821F03CD7F77C9B5">
    <w:name w:val="C43364DA05134CDD821F03CD7F77C9B5"/>
  </w:style>
  <w:style w:type="paragraph" w:customStyle="1" w:styleId="35B29A71D182450199A2C3075A543F98">
    <w:name w:val="35B29A71D182450199A2C3075A543F98"/>
  </w:style>
  <w:style w:type="paragraph" w:customStyle="1" w:styleId="43673DFEDB884940A709AC08E1221CD3">
    <w:name w:val="43673DFEDB884940A709AC08E1221CD3"/>
  </w:style>
  <w:style w:type="paragraph" w:customStyle="1" w:styleId="D3A66289EE9F41B5960B27B939E71F35">
    <w:name w:val="D3A66289EE9F41B5960B27B939E71F35"/>
  </w:style>
  <w:style w:type="paragraph" w:customStyle="1" w:styleId="8E24DC8A182044CB923C8BD92719B312">
    <w:name w:val="8E24DC8A182044CB923C8BD92719B312"/>
  </w:style>
  <w:style w:type="paragraph" w:customStyle="1" w:styleId="518044BFF5854540883662480D0EE71F">
    <w:name w:val="518044BFF5854540883662480D0EE71F"/>
  </w:style>
  <w:style w:type="paragraph" w:customStyle="1" w:styleId="6F3D8EE960FD492FABB0D3D7F9A726B7">
    <w:name w:val="6F3D8EE960FD492FABB0D3D7F9A726B7"/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</w:rPr>
  </w:style>
  <w:style w:type="paragraph" w:customStyle="1" w:styleId="854DCE4D858640568C91665A1240CB58">
    <w:name w:val="854DCE4D858640568C91665A1240CB58"/>
  </w:style>
  <w:style w:type="paragraph" w:customStyle="1" w:styleId="1521AD31BB7A4A869E2EB547E244D2B6">
    <w:name w:val="1521AD31BB7A4A869E2EB547E244D2B6"/>
  </w:style>
  <w:style w:type="paragraph" w:styleId="Citation">
    <w:name w:val="Quote"/>
    <w:basedOn w:val="Normal"/>
    <w:next w:val="Normal"/>
    <w:link w:val="CitationCar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rFonts w:eastAsiaTheme="minorHAnsi"/>
      <w:i/>
      <w:iCs/>
      <w:color w:val="2E74B5" w:themeColor="accent1" w:themeShade="BF"/>
      <w:sz w:val="30"/>
      <w:szCs w:val="20"/>
    </w:rPr>
  </w:style>
  <w:style w:type="character" w:customStyle="1" w:styleId="CitationCar">
    <w:name w:val="Citation Car"/>
    <w:basedOn w:val="Policepardfaut"/>
    <w:link w:val="Citation"/>
    <w:uiPriority w:val="1"/>
    <w:rPr>
      <w:rFonts w:eastAsiaTheme="minorHAnsi"/>
      <w:i/>
      <w:iCs/>
      <w:color w:val="2E74B5" w:themeColor="accent1" w:themeShade="BF"/>
      <w:sz w:val="30"/>
      <w:szCs w:val="20"/>
    </w:rPr>
  </w:style>
  <w:style w:type="paragraph" w:customStyle="1" w:styleId="1E0A81987F484818A931DA3EF9F36D07">
    <w:name w:val="1E0A81987F484818A931DA3EF9F36D07"/>
  </w:style>
  <w:style w:type="paragraph" w:customStyle="1" w:styleId="A0EECA733196496BA6620DB3E1CE895C">
    <w:name w:val="A0EECA733196496BA6620DB3E1CE895C"/>
  </w:style>
  <w:style w:type="paragraph" w:customStyle="1" w:styleId="E94BF2F428B84DE0A8AAC84277774BCE">
    <w:name w:val="E94BF2F428B84DE0A8AAC84277774BCE"/>
    <w:rsid w:val="00D33075"/>
  </w:style>
  <w:style w:type="paragraph" w:customStyle="1" w:styleId="EE680DEF2F1D4ED186654B806E5752E5">
    <w:name w:val="EE680DEF2F1D4ED186654B806E5752E5"/>
    <w:rsid w:val="00D33075"/>
  </w:style>
  <w:style w:type="paragraph" w:customStyle="1" w:styleId="82C69DE0773F4CB8966B644C5CFA1A2A">
    <w:name w:val="82C69DE0773F4CB8966B644C5CFA1A2A"/>
    <w:rsid w:val="00D33075"/>
  </w:style>
  <w:style w:type="paragraph" w:customStyle="1" w:styleId="0CB41BF58AC747AABACE4F36AD19DF19">
    <w:name w:val="0CB41BF58AC747AABACE4F36AD19DF19"/>
    <w:rsid w:val="00D33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B2503-A35F-4E69-B651-CB8E9E7E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334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Les brÛlures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LACROIX</dc:creator>
  <cp:keywords/>
  <cp:lastModifiedBy>Claire LACROIX</cp:lastModifiedBy>
  <cp:revision>19</cp:revision>
  <cp:lastPrinted>2015-09-27T18:53:00Z</cp:lastPrinted>
  <dcterms:created xsi:type="dcterms:W3CDTF">2015-09-27T13:09:00Z</dcterms:created>
  <dcterms:modified xsi:type="dcterms:W3CDTF">2015-09-27T18:53:00Z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